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A85" w:rsidRPr="00600E4F" w:rsidRDefault="00600E4F" w:rsidP="00600E4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0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Техническое задание</w:t>
      </w:r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10490"/>
      </w:tblGrid>
      <w:tr w:rsidR="0023610E" w:rsidRPr="00461E2C" w:rsidTr="000A0EBD">
        <w:trPr>
          <w:trHeight w:val="37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10E" w:rsidRPr="00461E2C" w:rsidRDefault="0023610E" w:rsidP="000A0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бно-тематический план программы</w:t>
            </w:r>
          </w:p>
        </w:tc>
      </w:tr>
      <w:tr w:rsidR="0023610E" w:rsidRPr="00461E2C" w:rsidTr="000A0EBD">
        <w:trPr>
          <w:trHeight w:val="111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10E" w:rsidRDefault="0023610E" w:rsidP="000A0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Менеджмент в нефтегазовой сфере</w:t>
            </w:r>
          </w:p>
          <w:p w:rsidR="0023610E" w:rsidRPr="00461E2C" w:rsidRDefault="0023610E" w:rsidP="0008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Модуль </w:t>
            </w:r>
            <w:r w:rsidR="00082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3-6</w:t>
            </w:r>
          </w:p>
        </w:tc>
      </w:tr>
    </w:tbl>
    <w:p w:rsidR="0023610E" w:rsidRDefault="0023610E"/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"/>
        <w:gridCol w:w="553"/>
        <w:gridCol w:w="1756"/>
        <w:gridCol w:w="248"/>
        <w:gridCol w:w="988"/>
        <w:gridCol w:w="878"/>
        <w:gridCol w:w="1483"/>
        <w:gridCol w:w="1249"/>
        <w:gridCol w:w="3323"/>
      </w:tblGrid>
      <w:tr w:rsidR="00600E4F" w:rsidRPr="00461E2C" w:rsidTr="005775CD">
        <w:trPr>
          <w:gridBefore w:val="1"/>
          <w:wBefore w:w="12" w:type="dxa"/>
          <w:trHeight w:val="896"/>
        </w:trPr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E4F" w:rsidRPr="00461E2C" w:rsidRDefault="00600E4F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обучения:</w:t>
            </w:r>
          </w:p>
        </w:tc>
        <w:tc>
          <w:tcPr>
            <w:tcW w:w="81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E4F" w:rsidRPr="00461E2C" w:rsidRDefault="00600E4F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теоретических знаний в области управления предприятием и персоналом, а также практических навыков  в сфере управленческого искусства</w:t>
            </w:r>
          </w:p>
        </w:tc>
      </w:tr>
      <w:tr w:rsidR="00600E4F" w:rsidRPr="00461E2C" w:rsidTr="005775CD">
        <w:trPr>
          <w:gridBefore w:val="1"/>
          <w:wBefore w:w="12" w:type="dxa"/>
          <w:trHeight w:val="158"/>
        </w:trPr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E4F" w:rsidRPr="00461E2C" w:rsidRDefault="00600E4F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слушателей:</w:t>
            </w:r>
          </w:p>
        </w:tc>
        <w:tc>
          <w:tcPr>
            <w:tcW w:w="81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E4F" w:rsidRPr="00461E2C" w:rsidRDefault="00600E4F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администрации, ЛПУ, заместители, руководители подразделений и служб, кадровый резерв</w:t>
            </w:r>
          </w:p>
        </w:tc>
      </w:tr>
      <w:tr w:rsidR="00600E4F" w:rsidRPr="00461E2C" w:rsidTr="005775CD">
        <w:trPr>
          <w:gridBefore w:val="1"/>
          <w:wBefore w:w="12" w:type="dxa"/>
          <w:trHeight w:val="495"/>
        </w:trPr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E4F" w:rsidRPr="00461E2C" w:rsidRDefault="00600E4F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обучения:</w:t>
            </w:r>
          </w:p>
        </w:tc>
        <w:tc>
          <w:tcPr>
            <w:tcW w:w="81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E4F" w:rsidRPr="00461E2C" w:rsidRDefault="00AA7468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  <w:r w:rsidR="00600E4F"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</w:t>
            </w:r>
            <w:r w:rsidR="00146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</w:p>
        </w:tc>
      </w:tr>
      <w:tr w:rsidR="00600E4F" w:rsidRPr="00461E2C" w:rsidTr="005775CD">
        <w:trPr>
          <w:gridBefore w:val="1"/>
          <w:wBefore w:w="12" w:type="dxa"/>
          <w:trHeight w:val="480"/>
        </w:trPr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E4F" w:rsidRPr="00461E2C" w:rsidRDefault="00600E4F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занятий:</w:t>
            </w:r>
          </w:p>
        </w:tc>
        <w:tc>
          <w:tcPr>
            <w:tcW w:w="81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0E4F" w:rsidRPr="00461E2C" w:rsidRDefault="00600E4F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модульный 8-10 часов в день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дней 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сесси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</w:p>
        </w:tc>
      </w:tr>
      <w:tr w:rsidR="00600E4F" w:rsidRPr="00461E2C" w:rsidTr="005775CD">
        <w:trPr>
          <w:gridBefore w:val="1"/>
          <w:wBefore w:w="12" w:type="dxa"/>
          <w:trHeight w:val="630"/>
        </w:trPr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E4F" w:rsidRPr="00461E2C" w:rsidRDefault="00600E4F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обучения:</w:t>
            </w:r>
          </w:p>
        </w:tc>
        <w:tc>
          <w:tcPr>
            <w:tcW w:w="81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0E4F" w:rsidRPr="00461E2C" w:rsidRDefault="00600E4F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отрывом от работы</w:t>
            </w:r>
          </w:p>
        </w:tc>
      </w:tr>
      <w:tr w:rsidR="00913D1D" w:rsidRPr="00461E2C" w:rsidTr="005775CD">
        <w:trPr>
          <w:gridBefore w:val="1"/>
          <w:wBefore w:w="12" w:type="dxa"/>
          <w:trHeight w:val="630"/>
        </w:trPr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3D1D" w:rsidRPr="00461E2C" w:rsidRDefault="00913D1D" w:rsidP="0091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оказания услуг:</w:t>
            </w:r>
          </w:p>
        </w:tc>
        <w:tc>
          <w:tcPr>
            <w:tcW w:w="81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913D1D" w:rsidRPr="00EF1F62" w:rsidRDefault="00913D1D" w:rsidP="00913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договора до 31.12.2014.</w:t>
            </w:r>
          </w:p>
        </w:tc>
      </w:tr>
      <w:tr w:rsidR="00913D1D" w:rsidRPr="00461E2C" w:rsidTr="005775CD">
        <w:trPr>
          <w:gridBefore w:val="1"/>
          <w:wBefore w:w="12" w:type="dxa"/>
          <w:trHeight w:val="630"/>
        </w:trPr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3D1D" w:rsidRDefault="00913D1D" w:rsidP="0091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оказания услуг: </w:t>
            </w:r>
          </w:p>
        </w:tc>
        <w:tc>
          <w:tcPr>
            <w:tcW w:w="81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913D1D" w:rsidRDefault="00913D1D" w:rsidP="0091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услуги оказываются по месту нахождения Исполнителя</w:t>
            </w:r>
          </w:p>
        </w:tc>
      </w:tr>
      <w:tr w:rsidR="00913D1D" w:rsidRPr="00461E2C" w:rsidTr="005775CD">
        <w:trPr>
          <w:gridBefore w:val="1"/>
          <w:wBefore w:w="12" w:type="dxa"/>
          <w:trHeight w:val="630"/>
        </w:trPr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3D1D" w:rsidRDefault="00913D1D" w:rsidP="0091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Максимальная цена услуг</w:t>
            </w:r>
          </w:p>
        </w:tc>
        <w:tc>
          <w:tcPr>
            <w:tcW w:w="81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913D1D" w:rsidRPr="005B7EC8" w:rsidRDefault="00913D1D" w:rsidP="0091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1 500 000 (один миллион пятьсот тысяч рублей)</w:t>
            </w:r>
            <w:r w:rsidR="00EF1F62" w:rsidRPr="00EF1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1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учетом НДС 18%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13D1D" w:rsidRPr="00461E2C" w:rsidTr="005775CD">
        <w:trPr>
          <w:trHeight w:val="315"/>
        </w:trPr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D1D" w:rsidRPr="00461E2C" w:rsidRDefault="00913D1D" w:rsidP="000A0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D1D" w:rsidRPr="00461E2C" w:rsidRDefault="00913D1D" w:rsidP="000A0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D1D" w:rsidRPr="00461E2C" w:rsidRDefault="00913D1D" w:rsidP="000A0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Всего, часов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D1D" w:rsidRPr="00461E2C" w:rsidRDefault="00913D1D" w:rsidP="000A0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D1D" w:rsidRPr="00461E2C" w:rsidRDefault="00913D1D" w:rsidP="000A0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Форма контроля</w:t>
            </w:r>
          </w:p>
        </w:tc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D1D" w:rsidRPr="00AA6BBC" w:rsidRDefault="00913D1D" w:rsidP="000A0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A6B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Краткое содержание</w:t>
            </w:r>
          </w:p>
        </w:tc>
      </w:tr>
      <w:tr w:rsidR="00913D1D" w:rsidRPr="00461E2C" w:rsidTr="005775CD">
        <w:trPr>
          <w:trHeight w:val="630"/>
        </w:trPr>
        <w:tc>
          <w:tcPr>
            <w:tcW w:w="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1D" w:rsidRPr="00461E2C" w:rsidRDefault="00913D1D" w:rsidP="000A0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D1D" w:rsidRPr="00461E2C" w:rsidRDefault="00913D1D" w:rsidP="000A0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1D" w:rsidRPr="00461E2C" w:rsidRDefault="00913D1D" w:rsidP="000A0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D1D" w:rsidRPr="00461E2C" w:rsidRDefault="00913D1D" w:rsidP="000A0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D1D" w:rsidRPr="00461E2C" w:rsidRDefault="00913D1D" w:rsidP="000A0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1D" w:rsidRPr="00461E2C" w:rsidRDefault="00913D1D" w:rsidP="000A0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D1D" w:rsidRPr="00461E2C" w:rsidRDefault="00913D1D" w:rsidP="000A0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3D1D" w:rsidRPr="005775CD" w:rsidTr="00577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3. Проектный менеджмент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49" w:type="dxa"/>
            <w:vAlign w:val="center"/>
          </w:tcPr>
          <w:p w:rsidR="00913D1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Краткое содержание</w:t>
            </w:r>
          </w:p>
        </w:tc>
      </w:tr>
      <w:tr w:rsidR="00913D1D" w:rsidRPr="005775CD" w:rsidTr="00577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37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Бизнес-планирование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9" w:type="dxa"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Структура бизнес-плана Титульный лист Резюме  Досье компании  План маркетинга План организации и менеджмента План производства Финансовый план, оценка рисков Отчет о движении денежных сре</w:t>
            </w:r>
            <w:proofErr w:type="gramStart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Пр</w:t>
            </w:r>
            <w:proofErr w:type="gramEnd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ограммное обеспечение составления. </w:t>
            </w:r>
            <w:proofErr w:type="spellStart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Cash</w:t>
            </w:r>
            <w:proofErr w:type="spellEnd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Flow</w:t>
            </w:r>
            <w:proofErr w:type="spellEnd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 на будущее</w:t>
            </w:r>
            <w:r w:rsidR="00EF1F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контрольные вопросы</w:t>
            </w:r>
          </w:p>
        </w:tc>
      </w:tr>
      <w:tr w:rsidR="00913D1D" w:rsidRPr="005775CD" w:rsidTr="00577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4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проектами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9" w:type="dxa"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проекта Дизайн проекта/организация проекта Планирование Управление рисками Старт проекта Управление проектом/</w:t>
            </w:r>
            <w:proofErr w:type="spellStart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контроллинг</w:t>
            </w:r>
            <w:proofErr w:type="spellEnd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проекта Текущая работа над проектом</w:t>
            </w:r>
            <w:r w:rsidR="00EF1F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контрольные вопросы</w:t>
            </w:r>
          </w:p>
        </w:tc>
      </w:tr>
      <w:tr w:rsidR="00913D1D" w:rsidRPr="005775CD" w:rsidTr="00577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9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Корпоративная культура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9" w:type="dxa"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Корпоративная культура.</w:t>
            </w: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Понятие о корпоративной культуре. Уровни корпоративной культуры. Примеры типов корпоративной культуры. Функции корпоративной культуры: самоидентификация организации, источник «здравого смысла», источник коллективной преданности делу, сохранение </w:t>
            </w: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социальной стабильности. Диалектика корпоративной культуры. Методы диагностики корпоративной культуры. Проблемы формирования корпоративной культурой и управления ею</w:t>
            </w:r>
          </w:p>
        </w:tc>
      </w:tr>
      <w:tr w:rsidR="00913D1D" w:rsidRPr="005775CD" w:rsidTr="00577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0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3.4.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изменениями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9" w:type="dxa"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Практика и методология управления изменениями. Модель текущего и будущего состояния организации; план мероприятий по преобразованию организации под будущие цели и задачи</w:t>
            </w:r>
          </w:p>
        </w:tc>
      </w:tr>
      <w:tr w:rsidR="00913D1D" w:rsidRPr="005775CD" w:rsidTr="000820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4.  Практический менеджмент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49" w:type="dxa"/>
            <w:vAlign w:val="center"/>
          </w:tcPr>
          <w:p w:rsidR="00913D1D" w:rsidRPr="005775CD" w:rsidRDefault="00913D1D" w:rsidP="0008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13D1D" w:rsidRPr="005775CD" w:rsidTr="00577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42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Стратегический менеджмент.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9" w:type="dxa"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назначения и главных целей бизнеса организации; анализ внешней и внутренней среды. Выбор и разработка стратегии организации. Анализ портфеля диверсифицированной фирмы. Проектирование ее организационной структуры. Управление комплексом " стратегия </w:t>
            </w:r>
            <w:proofErr w:type="gramStart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</w:t>
            </w:r>
            <w:proofErr w:type="gramEnd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труктура-контроль" Определение нормативов поведения и политик фирмы в отдельных сферах ее деятельности, др.</w:t>
            </w:r>
          </w:p>
        </w:tc>
      </w:tr>
      <w:tr w:rsidR="00913D1D" w:rsidRPr="005775CD" w:rsidTr="00577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84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Инновационный менеджмент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9" w:type="dxa"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Инновационная среда. Нововведение и новшество. Изменения. Источники инновационных возможностей. Длинные волны Н.Д. Кондратьева. Технологические уклады.</w:t>
            </w: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Инновационная деятельность, процесс</w:t>
            </w:r>
            <w:proofErr w:type="gramStart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., </w:t>
            </w:r>
            <w:proofErr w:type="gramEnd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модель, формы, диффузия инновации. Субъекты, стадии, виды инновационной деятельности.</w:t>
            </w: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Значение классификации инноваций. Структура и использование классификатора в управлении инновациями. Классификация инноваций по различным признакам.</w:t>
            </w: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Особенности конкуренции в инновационной сфере. Факторы конкурентоспособности инновационной организации. Формы и виды конкуренции в инновационной сфере. Формирование конкурентной Среды</w:t>
            </w:r>
          </w:p>
        </w:tc>
      </w:tr>
      <w:tr w:rsidR="00913D1D" w:rsidRPr="005775CD" w:rsidTr="00577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1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принятие управленческих решений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9" w:type="dxa"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Структура управленческих решений. Экспертные методы разработки решений. Эвристические методы. Метод сценариев. Элементы матрицы решений. Дерево решений. Методы выбора альтернативы. Прогнозирование. Экспертные оценки. Математические методы принятия решений</w:t>
            </w:r>
          </w:p>
        </w:tc>
      </w:tr>
      <w:tr w:rsidR="00913D1D" w:rsidRPr="005775CD" w:rsidTr="00577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6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4.4.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Бережливое производство 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9" w:type="dxa"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Философия устранения потерь в процессах и принципах взаимозависимости, уважения и постоянного совершенствования</w:t>
            </w:r>
            <w:proofErr w:type="gramStart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End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ейственная Система простых решений, которая  включает методы, подходы и эффективные инструменты, направленные на устранение потерь и оптимизацию процессов.</w:t>
            </w: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Виды потерь на производстве. Расчет эффективности принятых решений</w:t>
            </w: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контрольные вопросы</w:t>
            </w:r>
          </w:p>
        </w:tc>
      </w:tr>
      <w:tr w:rsidR="00913D1D" w:rsidRPr="005775CD" w:rsidTr="000820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8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5. Личные компетенции руководителя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49" w:type="dxa"/>
            <w:vAlign w:val="center"/>
          </w:tcPr>
          <w:p w:rsidR="00913D1D" w:rsidRPr="005775CD" w:rsidRDefault="00913D1D" w:rsidP="0008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3D1D" w:rsidRPr="005775CD" w:rsidTr="00577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Деловой этикет руководителя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9" w:type="dxa"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Деловой протокол встреч, культура делового общения, особенности межкультурных коммуникаций. Деловой стиль одежды для мужчин и женщин.</w:t>
            </w:r>
          </w:p>
        </w:tc>
      </w:tr>
      <w:tr w:rsidR="00913D1D" w:rsidRPr="005775CD" w:rsidTr="00577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0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Ораторское искусство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9" w:type="dxa"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Умения и навыки проведения </w:t>
            </w:r>
            <w:proofErr w:type="spellStart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спитчей</w:t>
            </w:r>
            <w:proofErr w:type="spellEnd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совещаний, долгосрочных выступлений. Особенности аудиторий и механизмы влияния на публику.</w:t>
            </w:r>
            <w:r w:rsidR="00EF1F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Зрительный контакт. Оптимальная поза. Типы аудитории.</w:t>
            </w: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Тестирование:  задатки блестящего оратора.</w:t>
            </w:r>
            <w:r w:rsidR="00EF1F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разговорной речи. Вредные привычки.</w:t>
            </w:r>
          </w:p>
        </w:tc>
      </w:tr>
      <w:tr w:rsidR="00913D1D" w:rsidRPr="005775CD" w:rsidTr="00577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Искусство презентаций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9" w:type="dxa"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Внешние презентации: информационные и продвигающие. Внутренние презентации: нисходящие, восходящие. Эффективная презентация. 5 признаков эффективной презентации.</w:t>
            </w:r>
          </w:p>
        </w:tc>
      </w:tr>
      <w:tr w:rsidR="00913D1D" w:rsidRPr="005775CD" w:rsidTr="00577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17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Стресс-менеджмент и </w:t>
            </w:r>
            <w:proofErr w:type="spellStart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здоровьесбережение</w:t>
            </w:r>
            <w:proofErr w:type="spellEnd"/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9" w:type="dxa"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стрессом и здоровьем</w:t>
            </w:r>
            <w:r w:rsidR="00EF1F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определения уровня стресса. Рейтинг методов снижения стресса на рабочем месте. Профилактика профессионального выгорания. Профилактика синдрома хронической усталости. Профилактика </w:t>
            </w:r>
            <w:proofErr w:type="spellStart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трудоголизма</w:t>
            </w:r>
            <w:proofErr w:type="spellEnd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Методики расслабления. Методики визуализации. Свойства хорошо работающих символов. Антистрессовые мероприятия. Модель «Пальма». Критерии выбора врача. </w:t>
            </w:r>
          </w:p>
        </w:tc>
      </w:tr>
      <w:tr w:rsidR="00913D1D" w:rsidRPr="005775CD" w:rsidTr="00577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Тайм-менеджмент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9" w:type="dxa"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Личный и корпоративный хронометраж. Циклограммы недели, года. Ветви развития. Матрица </w:t>
            </w:r>
            <w:proofErr w:type="gramStart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важно-срочно</w:t>
            </w:r>
            <w:proofErr w:type="gramEnd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Личные и корпоративные коэффициенты. Четыре поколения органайзеров. Методика «</w:t>
            </w:r>
            <w:proofErr w:type="spellStart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пинарник</w:t>
            </w:r>
            <w:proofErr w:type="spellEnd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Метод </w:t>
            </w:r>
            <w:proofErr w:type="spellStart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бездефицитности</w:t>
            </w:r>
            <w:proofErr w:type="spellEnd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сил (принцип маятника). Правило Парето. Правило различения качественного скачка и количественного </w:t>
            </w: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улучшения. Методики Джона Ван </w:t>
            </w:r>
            <w:proofErr w:type="spellStart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Эйкена</w:t>
            </w:r>
            <w:proofErr w:type="spellEnd"/>
          </w:p>
        </w:tc>
      </w:tr>
      <w:tr w:rsidR="00913D1D" w:rsidRPr="005775CD" w:rsidTr="000820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6.  Управление персоналом 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49" w:type="dxa"/>
            <w:vAlign w:val="center"/>
          </w:tcPr>
          <w:p w:rsidR="00913D1D" w:rsidRPr="005775CD" w:rsidRDefault="00913D1D" w:rsidP="0008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13D1D" w:rsidRPr="005775CD" w:rsidTr="00577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Управленческая психология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9" w:type="dxa"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Искусство ведения</w:t>
            </w:r>
            <w:proofErr w:type="gramEnd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переговоров: Коммуникации в бизнесе. Основы и этапы переговорного процесса. Слагаемые эффективных  деловых переговоров. Приемы и тактики ведения переговоров. Манипуляции в переговорном процессе. Реагирование и взаимодействие в переговорном процессе. Влияние  на оппонентов в ходе беседы, используя различные методы, не нарушающие экологию человеческих отношений. Стресс-менеджмент: Навыки и умения действовать объективно и продуктивно даже в форс-мажорных обстоятельствах и др.</w:t>
            </w:r>
          </w:p>
        </w:tc>
      </w:tr>
      <w:tr w:rsidR="00913D1D" w:rsidRPr="005775CD" w:rsidTr="00577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8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человеческими ресурсами. 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9" w:type="dxa"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управление персоналом. Внутренняя и внешняя среда организации. Кадровая политика. Оценка должности, поиск и отбор персонала. Система компенсации и стимулирования персонала</w:t>
            </w:r>
          </w:p>
        </w:tc>
      </w:tr>
      <w:tr w:rsidR="00913D1D" w:rsidRPr="005775CD" w:rsidTr="005775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76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Лидерство и управление конфликтами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9" w:type="dxa"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Стратегии профессионального и жизненного успеха</w:t>
            </w: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Логические уровни успеха. Сильные и слабые стороны личности. Виды карьеры.  Технологии выбора. Неуверенное, агрессивное и уверенное поведение в конфликте. Компетенции эмоционального интеллекта (EQ). Техники противостояния манипуляциям. Быстрое преодоление негативных состояний. Прерывание патологических кругов общения и влияние на «трудных людей». Стратегия конструктивной реакции на критику. Гибкость мышления и поведения. Первая, вторая и третья позиции в коммуникации. Различение «отчета» и «команды». Техника ПИН. Двенадцать типов трудных клиентов. </w:t>
            </w:r>
          </w:p>
        </w:tc>
      </w:tr>
      <w:tr w:rsidR="00913D1D" w:rsidRPr="005775CD" w:rsidTr="000820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1"/>
        </w:trPr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Межкультурный менеджмент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78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9" w:type="dxa"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shd w:val="clear" w:color="auto" w:fill="auto"/>
            <w:vAlign w:val="center"/>
            <w:hideMark/>
          </w:tcPr>
          <w:p w:rsidR="00913D1D" w:rsidRPr="005775CD" w:rsidRDefault="00913D1D" w:rsidP="0057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Исторические сценарии развития культуры. Культурный шок. Этнокультурные стереотипы.</w:t>
            </w:r>
            <w:r w:rsidR="00EF1F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Различные подходы к классификации деловых культур. Классификация деловых культур по Льюису. </w:t>
            </w:r>
            <w:proofErr w:type="spellStart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Моноактивные</w:t>
            </w:r>
            <w:proofErr w:type="spellEnd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полиактивные</w:t>
            </w:r>
            <w:proofErr w:type="spellEnd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реактивные культуры, особенности их компонентов: ценности, отношение ко времени, мотивация, разрешение конфликтов и пр.</w:t>
            </w:r>
            <w:r w:rsidR="00EF1F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Культурные различия в зависимости от местности, религии, пола, возраста </w:t>
            </w:r>
            <w:r w:rsidRPr="00577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 класса. Индексы дистанции власти, коллективизма и индивидуализма, мужественности и женственности, избегания неопределенности. Практическое использование этих индексов в международном деловом сотрудничестве.</w:t>
            </w:r>
          </w:p>
        </w:tc>
      </w:tr>
    </w:tbl>
    <w:p w:rsidR="0080249A" w:rsidRDefault="0080249A"/>
    <w:p w:rsidR="0080249A" w:rsidRDefault="0080249A"/>
    <w:sectPr w:rsidR="0080249A" w:rsidSect="00600E4F">
      <w:pgSz w:w="11906" w:h="16838"/>
      <w:pgMar w:top="426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E2C"/>
    <w:rsid w:val="000069A6"/>
    <w:rsid w:val="0002119D"/>
    <w:rsid w:val="00030E97"/>
    <w:rsid w:val="00031AC9"/>
    <w:rsid w:val="00065652"/>
    <w:rsid w:val="000678E6"/>
    <w:rsid w:val="00082063"/>
    <w:rsid w:val="000844EF"/>
    <w:rsid w:val="00097DB6"/>
    <w:rsid w:val="000D4251"/>
    <w:rsid w:val="000F6D48"/>
    <w:rsid w:val="00107FA0"/>
    <w:rsid w:val="001247F1"/>
    <w:rsid w:val="0014265A"/>
    <w:rsid w:val="001460F7"/>
    <w:rsid w:val="0014626C"/>
    <w:rsid w:val="00154E90"/>
    <w:rsid w:val="00162CED"/>
    <w:rsid w:val="00165AEB"/>
    <w:rsid w:val="001A33E7"/>
    <w:rsid w:val="001D58FF"/>
    <w:rsid w:val="001F3436"/>
    <w:rsid w:val="001F4D09"/>
    <w:rsid w:val="002027A5"/>
    <w:rsid w:val="0020536E"/>
    <w:rsid w:val="00214FF4"/>
    <w:rsid w:val="0023610E"/>
    <w:rsid w:val="002432D6"/>
    <w:rsid w:val="002622B9"/>
    <w:rsid w:val="002659C8"/>
    <w:rsid w:val="00285C3A"/>
    <w:rsid w:val="00294027"/>
    <w:rsid w:val="002958F3"/>
    <w:rsid w:val="002B7EE9"/>
    <w:rsid w:val="002C7305"/>
    <w:rsid w:val="002D3592"/>
    <w:rsid w:val="002E1A62"/>
    <w:rsid w:val="00321B19"/>
    <w:rsid w:val="00323E0B"/>
    <w:rsid w:val="003240BE"/>
    <w:rsid w:val="003241C9"/>
    <w:rsid w:val="00337FF0"/>
    <w:rsid w:val="003464FD"/>
    <w:rsid w:val="00350771"/>
    <w:rsid w:val="00362849"/>
    <w:rsid w:val="0039234B"/>
    <w:rsid w:val="003D1ECF"/>
    <w:rsid w:val="003F06C7"/>
    <w:rsid w:val="004011FD"/>
    <w:rsid w:val="00402466"/>
    <w:rsid w:val="00434275"/>
    <w:rsid w:val="004440DD"/>
    <w:rsid w:val="00461E2C"/>
    <w:rsid w:val="004933FC"/>
    <w:rsid w:val="004B7382"/>
    <w:rsid w:val="004C3140"/>
    <w:rsid w:val="004D06D5"/>
    <w:rsid w:val="004F02E3"/>
    <w:rsid w:val="004F2C07"/>
    <w:rsid w:val="00502798"/>
    <w:rsid w:val="00521D93"/>
    <w:rsid w:val="00570D30"/>
    <w:rsid w:val="00574A29"/>
    <w:rsid w:val="005775CD"/>
    <w:rsid w:val="005D16E8"/>
    <w:rsid w:val="005D54D5"/>
    <w:rsid w:val="005E6A60"/>
    <w:rsid w:val="005E7195"/>
    <w:rsid w:val="00600E4F"/>
    <w:rsid w:val="00606E74"/>
    <w:rsid w:val="00624D59"/>
    <w:rsid w:val="00632A26"/>
    <w:rsid w:val="00632E7C"/>
    <w:rsid w:val="006415A3"/>
    <w:rsid w:val="0064427E"/>
    <w:rsid w:val="00655EA1"/>
    <w:rsid w:val="00661653"/>
    <w:rsid w:val="006647D9"/>
    <w:rsid w:val="00677DC1"/>
    <w:rsid w:val="00681701"/>
    <w:rsid w:val="00683770"/>
    <w:rsid w:val="006B6E33"/>
    <w:rsid w:val="006C25D0"/>
    <w:rsid w:val="006C7B5E"/>
    <w:rsid w:val="006E4D2C"/>
    <w:rsid w:val="006E514C"/>
    <w:rsid w:val="007013C6"/>
    <w:rsid w:val="00720CC2"/>
    <w:rsid w:val="00722BA8"/>
    <w:rsid w:val="00737A85"/>
    <w:rsid w:val="00742BDC"/>
    <w:rsid w:val="0077161A"/>
    <w:rsid w:val="007932CC"/>
    <w:rsid w:val="0079677D"/>
    <w:rsid w:val="007B3A46"/>
    <w:rsid w:val="007B625E"/>
    <w:rsid w:val="007C1A30"/>
    <w:rsid w:val="007D21CE"/>
    <w:rsid w:val="007D4235"/>
    <w:rsid w:val="007E5A18"/>
    <w:rsid w:val="0080249A"/>
    <w:rsid w:val="00811CE0"/>
    <w:rsid w:val="00821142"/>
    <w:rsid w:val="008252E6"/>
    <w:rsid w:val="00827758"/>
    <w:rsid w:val="008767B0"/>
    <w:rsid w:val="008801AB"/>
    <w:rsid w:val="008C6B03"/>
    <w:rsid w:val="008D221A"/>
    <w:rsid w:val="008D517B"/>
    <w:rsid w:val="008E7B84"/>
    <w:rsid w:val="00913D1D"/>
    <w:rsid w:val="00985326"/>
    <w:rsid w:val="00991EC0"/>
    <w:rsid w:val="009A1631"/>
    <w:rsid w:val="009B2776"/>
    <w:rsid w:val="009C0C3F"/>
    <w:rsid w:val="009D3C23"/>
    <w:rsid w:val="009E7172"/>
    <w:rsid w:val="009F6497"/>
    <w:rsid w:val="00A148CE"/>
    <w:rsid w:val="00A225E3"/>
    <w:rsid w:val="00A24B82"/>
    <w:rsid w:val="00A30462"/>
    <w:rsid w:val="00A40421"/>
    <w:rsid w:val="00A65E15"/>
    <w:rsid w:val="00A76238"/>
    <w:rsid w:val="00AA6BBC"/>
    <w:rsid w:val="00AA7468"/>
    <w:rsid w:val="00AB0BD9"/>
    <w:rsid w:val="00AC33C2"/>
    <w:rsid w:val="00AE4D1F"/>
    <w:rsid w:val="00AF7A13"/>
    <w:rsid w:val="00B17AFF"/>
    <w:rsid w:val="00B36D50"/>
    <w:rsid w:val="00B374D3"/>
    <w:rsid w:val="00B43602"/>
    <w:rsid w:val="00B56DCE"/>
    <w:rsid w:val="00BA03B8"/>
    <w:rsid w:val="00BD055E"/>
    <w:rsid w:val="00BD104D"/>
    <w:rsid w:val="00BD1105"/>
    <w:rsid w:val="00BE11CF"/>
    <w:rsid w:val="00BE6D09"/>
    <w:rsid w:val="00BF62B4"/>
    <w:rsid w:val="00BF66ED"/>
    <w:rsid w:val="00C126F2"/>
    <w:rsid w:val="00C168DE"/>
    <w:rsid w:val="00C332BF"/>
    <w:rsid w:val="00C54E1E"/>
    <w:rsid w:val="00C601E7"/>
    <w:rsid w:val="00C705E3"/>
    <w:rsid w:val="00C73B0B"/>
    <w:rsid w:val="00C7555B"/>
    <w:rsid w:val="00C91C97"/>
    <w:rsid w:val="00C97FE6"/>
    <w:rsid w:val="00CB769C"/>
    <w:rsid w:val="00D0162C"/>
    <w:rsid w:val="00D31D1A"/>
    <w:rsid w:val="00D3343E"/>
    <w:rsid w:val="00D33FCE"/>
    <w:rsid w:val="00D51665"/>
    <w:rsid w:val="00D53FF4"/>
    <w:rsid w:val="00D63510"/>
    <w:rsid w:val="00D82CF6"/>
    <w:rsid w:val="00D91A22"/>
    <w:rsid w:val="00DA20A9"/>
    <w:rsid w:val="00DA5CF4"/>
    <w:rsid w:val="00DB261E"/>
    <w:rsid w:val="00DC035D"/>
    <w:rsid w:val="00DE456D"/>
    <w:rsid w:val="00DF096D"/>
    <w:rsid w:val="00E1329C"/>
    <w:rsid w:val="00E14086"/>
    <w:rsid w:val="00E25D1A"/>
    <w:rsid w:val="00E31B00"/>
    <w:rsid w:val="00E31D5F"/>
    <w:rsid w:val="00E37D6F"/>
    <w:rsid w:val="00E44B86"/>
    <w:rsid w:val="00E943D2"/>
    <w:rsid w:val="00EB1934"/>
    <w:rsid w:val="00EC5892"/>
    <w:rsid w:val="00ED1DBB"/>
    <w:rsid w:val="00EE5F3A"/>
    <w:rsid w:val="00EF1F62"/>
    <w:rsid w:val="00EF2D67"/>
    <w:rsid w:val="00F12946"/>
    <w:rsid w:val="00F16DC5"/>
    <w:rsid w:val="00F27609"/>
    <w:rsid w:val="00F33790"/>
    <w:rsid w:val="00F33891"/>
    <w:rsid w:val="00F92F11"/>
    <w:rsid w:val="00F96BA7"/>
    <w:rsid w:val="00FB4F65"/>
    <w:rsid w:val="00FD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8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8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7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Газпром трансгаз Томск</Company>
  <LinksUpToDate>false</LinksUpToDate>
  <CharactersWithSpaces>7683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Костырев Константин Михайлович</dc:creator>
  <cp:lastModifiedBy>Карсакова Рассвета Николаевна</cp:lastModifiedBy>
  <cp:revision>13</cp:revision>
  <cp:lastPrinted>2013-09-05T06:36:00Z</cp:lastPrinted>
  <dcterms:created xsi:type="dcterms:W3CDTF">2013-08-29T04:48:00Z</dcterms:created>
  <dcterms:modified xsi:type="dcterms:W3CDTF">2013-09-17T08:43:00Z</dcterms:modified>
</cp:coreProperties>
</file>